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Соглашение об обработке данных (DPA)</w:t>
      </w:r>
    </w:p>
    <w:p>
      <w:r>
        <w:rPr>
          <w:b/>
        </w:rPr>
        <w:t>в соответствии со ст. 28 Общего регламента по защите данных (GDPR)</w:t>
      </w:r>
    </w:p>
    <w:p>
      <w:r>
        <w:t>Version 1.0, по состоянию на 22 сентября 2026 г.</w:t>
      </w:r>
    </w:p>
    <w:p>
      <w:pPr>
        <w:pStyle w:val="Heading2"/>
      </w:pPr>
      <w:r>
        <w:t>Стороны</w:t>
      </w:r>
    </w:p>
    <w:p>
      <w:r>
        <w:rPr>
          <w:b/>
        </w:rPr>
        <w:t>Клиент</w:t>
      </w:r>
      <w:r>
        <w:t xml:space="preserve"> (контролёр, то есть ответственный за обработку, в значении ст. 4(7) GDPR):</w:t>
      </w:r>
    </w:p>
    <w:p>
      <w:r>
        <w:t>Компания / имя: ______________________________________</w:t>
      </w:r>
    </w:p>
    <w:p>
      <w:r>
        <w:t>Адрес: ______________________________________</w:t>
      </w:r>
    </w:p>
    <w:p>
      <w:r>
        <w:t>Электронная почта учётной записи scryp: ______________________________________</w:t>
      </w:r>
    </w:p>
    <w:p>
      <w:r>
        <w:rPr>
          <w:b/>
        </w:rPr>
        <w:t>scryp</w:t>
      </w:r>
      <w:r>
        <w:t xml:space="preserve"> (обработчик в значении ст. 4(8) GDPR):</w:t>
      </w:r>
    </w:p>
    <w:p>
      <w:r>
        <w:t>Gökhan Sagir, индивидуальный предприниматель, действующий под маркой scryp</w:t>
      </w:r>
      <w:r>
        <w:br/>
      </w:r>
      <w:r>
        <w:t>Erdbergstraße 121/9, 1030 Вена, Австрия</w:t>
      </w:r>
      <w:r>
        <w:br/>
      </w:r>
      <w:r>
        <w:t>UID: ATU83108129</w:t>
      </w:r>
      <w:r>
        <w:br/>
      </w:r>
      <w:r>
        <w:t>Контакт по вопросам защиты данных: datenschutz@scryp.at</w:t>
      </w:r>
    </w:p>
    <w:p>
      <w:r>
        <w:t>Далее - «Клиент» и «scryp», совместно - «Стороны».</w:t>
      </w:r>
    </w:p>
    <w:p>
      <w:pPr>
        <w:pStyle w:val="Heading2"/>
      </w:pPr>
      <w:r>
        <w:t>О чём идёт речь</w:t>
      </w:r>
    </w:p>
    <w:p>
      <w:r>
        <w:t>Клиент использует scryp для транскрибирования и анализа аудио- и видеозаписей. В этих записях говорят люди, за персональные данные которых отвечает Клиент. scryp обрабатывает эти данные только по поручению Клиента. Настоящее Соглашение определяет, что scryp вправе делать с данными, как scryp их защищает и что происходит с ними в конце.</w:t>
      </w:r>
    </w:p>
    <w:p>
      <w:pPr>
        <w:pStyle w:val="Heading2"/>
      </w:pPr>
      <w:r>
        <w:t>1. Предмет и сфера применения</w:t>
      </w:r>
    </w:p>
    <w:p>
      <w:r>
        <w:t>1.1 Настоящее Соглашение применяется ко всем персональным данным, которые scryp обрабатывает по поручению Клиента при оказании услуги scryp в соответствии с Условиями предоставления услуг (Условия, доступны по адресу www.scryp.at/agb). Договор об использовании услуги далее именуется «Основной договор». Актуальная редакция настоящего Соглашения доступна по адресу www.scryp.at/avv.</w:t>
      </w:r>
    </w:p>
    <w:p>
      <w:r>
        <w:t>1.2 Предметом настоящего Соглашения не являются данные самих договорных отношений, то есть данные учётной записи, договора, расчётов и поддержки Клиента. Эти данные scryp обрабатывает как самостоятельный контролёр в соответствии со своей Политикой конфиденциальности (www.scryp.at/datenschutz).</w:t>
      </w:r>
    </w:p>
    <w:p>
      <w:r>
        <w:t>1.3 Приложения 1-3 являются неотъемлемой частью настоящего Соглашения. При противоречиях между настоящим Соглашением и Основным договором в вопросах защиты данных приоритет имеет настоящее Соглашение.</w:t>
      </w:r>
    </w:p>
    <w:p>
      <w:r>
        <w:t>1.4 Настоящее Соглашение предназначено для клиентов, использующих scryp в рамках профессиональной, коммерческой или ведомственной деятельности. При исключительно личном использовании GDPR в силу ст. 2(2)(c) не применяется, и заключение соглашения об обработке данных не требуется.</w:t>
      </w:r>
    </w:p>
    <w:p>
      <w:pPr>
        <w:pStyle w:val="Heading2"/>
      </w:pPr>
      <w:r>
        <w:t>2. Характер, цель и объём обработки</w:t>
      </w:r>
    </w:p>
    <w:p>
      <w:r>
        <w:t>2.1 Характер и цель обработки, виды данных и категории субъектов данных описаны в Приложении 1.</w:t>
      </w:r>
    </w:p>
    <w:p>
      <w:r>
        <w:t>2.2 scryp обрабатывает данные исключительно в государствах - членах Европейского союза. Места обработки указаны в Приложении 1 и Приложении 3.</w:t>
      </w:r>
    </w:p>
    <w:p>
      <w:r>
        <w:t>2.3 Срок обработки соответствует сроку действия Основного договора с учётом сроков удаления, предусмотренных пунктом 12.</w:t>
      </w:r>
    </w:p>
    <w:p>
      <w:pPr>
        <w:pStyle w:val="Heading2"/>
      </w:pPr>
      <w:r>
        <w:t>3. Указания</w:t>
      </w:r>
    </w:p>
    <w:p>
      <w:r>
        <w:t>3.1 scryp обрабатывает данные только по документированным указаниям Клиента. Указаниями Клиента являются Основной договор, настоящее Соглашение и использование Клиентом функций услуги (в частности, загрузка, транскрибирование, анализ, редактирование, предоставление доступа, экспорт и удаление). Каждое использование функции является документированным отдельным указанием выполнить соответствующую обработку.</w:t>
      </w:r>
    </w:p>
    <w:p>
      <w:r>
        <w:t>3.2 Дополнительные указания Клиент даёт в письменной форме; достаточно электронного письма на адрес datenschutz@scryp.at. Правом давать указания обладают владелец учётной записи и лица, которых Клиент привлекает к работе со своей учётной записью scryp. Указания, выходящие за пределы объёма услуги, считаются запросом на изменение услуги.</w:t>
      </w:r>
    </w:p>
    <w:p>
      <w:r>
        <w:t>3.3 Если, по мнению scryp, указание нарушает GDPR или иные положения о защите данных, scryp незамедлительно информирует об этом Клиента. scryp вправе приостановить выполнение указания до его подтверждения или изменения Клиентом.</w:t>
      </w:r>
    </w:p>
    <w:p>
      <w:r>
        <w:t>3.4 scryp не использует данные в собственных целях. В частности, записи, транскрипции и результаты анализа Клиента не используются для обучения или улучшения моделей ИИ и не передаются третьим лицам, если настоящим Соглашением не предусмотрено иное.</w:t>
      </w:r>
    </w:p>
    <w:p>
      <w:r>
        <w:t>3.5 Если государственный орган или суд требует от scryp выдачи данных Клиента, scryp незамедлительно информирует Клиента, насколько это допустимо по закону, направляет запрашивающий орган к Клиенту и выдаёт только те данные, выдача которых требуется по закону. При этом scryp проверяет, не препятствует ли выдаче установленная законом обязанность Клиента по сохранению тайны (§ 6 Abs. 5 DSG).</w:t>
      </w:r>
    </w:p>
    <w:p>
      <w:pPr>
        <w:pStyle w:val="Heading2"/>
      </w:pPr>
      <w:r>
        <w:t>4. Обязанности Клиента</w:t>
      </w:r>
    </w:p>
    <w:p>
      <w:r>
        <w:t>4.1 Клиент несёт ответственность за правомерность записей и их обработки. В частности, Клиент обеспечивает наличие правового основания (ст. 6, для особых категорий - ст. 9 GDPR), информирование субъектов данных (ст. 13 и 14 GDPR) и то, чтобы непубличные высказывания не записывались без согласия говорящих (например, § 120 StGB в Австрии).</w:t>
      </w:r>
    </w:p>
    <w:p>
      <w:r>
        <w:t>4.2 Если записи содержат особые категории персональных данных (например, данные о здоровье) или сведения, составляющие профессиональную тайну, Клиент заранее проверяет, допустима ли обработка и требуется ли оценка воздействия на защиту данных (ст. 35 GDPR). scryp предоставляет для этого информацию, содержащуюся в настоящем Соглашении и его приложениях.</w:t>
      </w:r>
    </w:p>
    <w:p>
      <w:r>
        <w:t>4.3 Клиент поддерживает в актуальном состоянии адрес электронной почты своей учётной записи scryp. На этот адрес scryp направляет все сообщения по настоящему Соглашению, в частности уведомления согласно пункту 10.</w:t>
      </w:r>
    </w:p>
    <w:p>
      <w:r>
        <w:t>4.4 Клиент вправе давать scryp указания, требовать подтверждений и проводить проверки согласно пункту 11.</w:t>
      </w:r>
    </w:p>
    <w:p>
      <w:pPr>
        <w:pStyle w:val="Heading2"/>
      </w:pPr>
      <w:r>
        <w:t>5. Конфиденциальность и профессиональная тайна</w:t>
      </w:r>
    </w:p>
    <w:p>
      <w:r>
        <w:t>5.1 scryp предоставляет доступ к данным только лицам, которые приняли обязательство соблюдать тайну данных (§ 6 DSG) и конфиденциальность и проинформированы о последствиях нарушения (ст. 28(3)(b), ст. 29 GDPR). Это обязательство сохраняется и после окончания их деятельности.</w:t>
      </w:r>
    </w:p>
    <w:p>
      <w:r>
        <w:t>5.2 Архитектура scryp построена так, что содержимое Клиента (записи, транскрипции, результаты анализа, имена файлов и папок) хранится только в зашифрованном виде и в открытом виде существует только на время соответствующей обработки в оперативной памяти серверов обработки. Лица, работающие в scryp, в ходе текущей эксплуатации не имеют доступа к содержимому в открытом виде. Подробности изложены в Приложении 2.</w:t>
      </w:r>
    </w:p>
    <w:p>
      <w:r>
        <w:t>5.3 Если Клиент связан установленной законом обязанностью сохранения тайны (например, § 9 RAO, § 54 ÄrzteG, § 121 StGB), scryp в качестве вспомогательного лица Клиента обязуется в той же мере хранить в тайне всё содержимое, к которому scryp получает доступ в ходе оказания услуги. Для клиентов, на которых распространяется германское право, это одновременно считается обязательством о неразглашении согласно § 203 Abs. 4 StGB (Германия). По запросу scryp подтверждает это обязательство отдельным заявлением.</w:t>
      </w:r>
    </w:p>
    <w:p>
      <w:pPr>
        <w:pStyle w:val="Heading2"/>
      </w:pPr>
      <w:r>
        <w:t>6. Безопасность обработки</w:t>
      </w:r>
    </w:p>
    <w:p>
      <w:r>
        <w:t>6.1 scryp принимает технические и организационные меры согласно ст. 32 GDPR, описанные в Приложении 2.</w:t>
      </w:r>
    </w:p>
    <w:p>
      <w:r>
        <w:t>6.2 scryp вправе развивать эти меры и заменять их равноценными или более эффективными. Уровень защиты при этом не может быть понижен. Существенные изменения scryp документирует и сообщает о них Клиенту. Актуальная редакция Приложения 2 доступна по адресу www.scryp.at/avv.</w:t>
      </w:r>
    </w:p>
    <w:p>
      <w:r>
        <w:t>6.3 scryp проверяет эффективность мер не реже одного раза в год и по запросу сообщает Клиенту о результатах.</w:t>
      </w:r>
    </w:p>
    <w:p>
      <w:pPr>
        <w:pStyle w:val="Heading2"/>
      </w:pPr>
      <w:r>
        <w:t>7. Субобработчики</w:t>
      </w:r>
    </w:p>
    <w:p>
      <w:r>
        <w:t>7.1 Клиент одобряет субобработчиков, указанных в Приложении 3 (общее разрешение согласно ст. 28(2) GDPR).</w:t>
      </w:r>
    </w:p>
    <w:p>
      <w:r>
        <w:t>7.2 Если scryp намеревается добавить или заменить субобработчика, scryp информирует об этом Клиента не менее чем за 30 дней до привлечения по электронной почте на адрес учётной записи scryp. Клиент может в течение 14 дней с момента получения этого уведомления заявить письменное возражение по существенной причине, связанной с защитой данных; достаточно электронного письма. Если Клиент не заявляет возражение, изменение считается одобренным.</w:t>
      </w:r>
    </w:p>
    <w:p>
      <w:r>
        <w:t>7.3 Если после возражения Стороны не находят решения, Клиент может расторгнуть Основной договор на момент запланированного привлечения субобработчика. Суммы, предоплаченные Клиентом за период после прекращения договора, scryp возвращает пропорционально.</w:t>
      </w:r>
    </w:p>
    <w:p>
      <w:r>
        <w:t>7.4 scryp возлагает на каждого субобработчика на основании договора те же обязанности по защите данных, которые несёт scryp по настоящему Соглашению, в частности достаточные гарантии реализации надлежащих технических и организационных мер (ст. 28(4) GDPR). Если субобработчик не исполняет свои обязанности, scryp отвечает перед Клиентом за исполнение этих обязанностей как за собственные действия.</w:t>
      </w:r>
    </w:p>
    <w:p>
      <w:r>
        <w:t>7.5 Вспомогательные услуги без доступа к данным Клиента, например телекоммуникационные услуги, уборка или техническое обслуживание без доступа к данным, не являются привлечением субобработчика.</w:t>
      </w:r>
    </w:p>
    <w:p>
      <w:pPr>
        <w:pStyle w:val="Heading2"/>
      </w:pPr>
      <w:r>
        <w:t>8. Место обработки и третьи страны</w:t>
      </w:r>
    </w:p>
    <w:p>
      <w:r>
        <w:t>8.1 scryp обрабатывает и хранит данные в Австрии и Германии. Передача данных в страны за пределами Европейского союза или Европейской экономической зоны со стороны scryp не осуществляется.</w:t>
      </w:r>
    </w:p>
    <w:p>
      <w:r>
        <w:t>8.2 Если субобработчик обрабатывает данные в третьей стране, это происходит только в объёме, описанном в Приложении 3, и только при наличии надлежащей гарантии в соответствии с главой V GDPR (например, решение Европейской комиссии об адекватности или стандартные договорные положения ЕС).</w:t>
      </w:r>
    </w:p>
    <w:p>
      <w:pPr>
        <w:pStyle w:val="Heading2"/>
      </w:pPr>
      <w:r>
        <w:t>9. Содействие Клиенту</w:t>
      </w:r>
    </w:p>
    <w:p>
      <w:r>
        <w:t>9.1 Права субъектов данных: Клиент в большинстве случаев может самостоятельно выполнить запросы о доступе, исправлении, удалении и переносимости данных с помощью функций услуги (просмотр, редактирование, экспорт, удаление). Поскольку scryp хранит содержимое только в зашифрованном виде, scryp не может установить, какие лица фигурируют в записи. Если субъект данных обращается к scryp, scryp незамедлительно перенаправляет запрос Клиенту и не отвечает на него самостоятельно, если только Клиент не даст scryp соответствующее указание.</w:t>
      </w:r>
    </w:p>
    <w:p>
      <w:r>
        <w:t>9.2 Безопасность, нарушения безопасности данных, оценка воздействия на защиту данных и консультации с надзорным органом (ст. 32-36 GDPR): scryp оказывает Клиенту содействие, предоставляя имеющуюся у scryp информацию, в частности настоящее Соглашение, Приложение 2 и сведения об инциденте согласно пункту 10.</w:t>
      </w:r>
    </w:p>
    <w:p>
      <w:r>
        <w:t>9.3 За содействие, выходящее за рамки предоставления информации и функций, описанных в настоящем Соглашении, scryp вправе после предварительного уведомления требовать соразмерное вознаграждение по фактическим затратам. Это не применяется, если содействие требуется вследствие ошибки scryp.</w:t>
      </w:r>
    </w:p>
    <w:p>
      <w:pPr>
        <w:pStyle w:val="Heading2"/>
      </w:pPr>
      <w:r>
        <w:t>10. Уведомление о нарушениях безопасности персональных данных</w:t>
      </w:r>
    </w:p>
    <w:p>
      <w:r>
        <w:t>10.1 Если scryp становится известно о нарушении безопасности персональных данных, затрагивающем данные Клиента, scryp уведомляет об этом Клиента без неоправданной задержки, но не позднее чем через 48 часов после того, как об этом стало известно, по электронной почте на адрес учётной записи scryp.</w:t>
      </w:r>
    </w:p>
    <w:p>
      <w:r>
        <w:t>10.2 Уведомление содержит, насколько известно: характер нарушения, затронутые виды данных и приблизительное число затронутых лиц, вероятные последствия, принятые и предлагаемые меры, а также контактное лицо в scryp. Информацию, которая ещё отсутствует, scryp предоставляет дополнительно без неоправданной задержки.</w:t>
      </w:r>
    </w:p>
    <w:p>
      <w:r>
        <w:t>10.3 scryp документирует нарушение и оказывает Клиенту содействие в уведомлении надзорного органа и информировании субъектов данных. Уведомления органам или субъектам данных от имени Клиента scryp направляет только по его указанию. Уведомление Клиента не является признанием вины.</w:t>
      </w:r>
    </w:p>
    <w:p>
      <w:pPr>
        <w:pStyle w:val="Heading2"/>
      </w:pPr>
      <w:r>
        <w:t>11. Подтверждения и проверки</w:t>
      </w:r>
    </w:p>
    <w:p>
      <w:r>
        <w:t>11.1 scryp предоставляет Клиенту всю информацию, необходимую для подтверждения соблюдения обязанностей, предусмотренных ст. 28 GDPR. К ней относятся настоящее Соглашение, описание мер в Приложении 2, реестр операций по обработке согласно ст. 30(2) GDPR, сертификаты субобработчиков и письменные ответы на обоснованные вопросы Клиента.</w:t>
      </w:r>
    </w:p>
    <w:p>
      <w:r>
        <w:t>11.2 Если в конкретном случае этих подтверждений недостаточно, Клиент может самостоятельно или через обязанного соблюдать конфиденциальность проверяющего, не являющегося конкурентом scryp, провести проверку, включая инспекцию. Проверки проводятся не чаще одного раза в календарный год, после уведомления не менее чем за 30 дней, в обычное рабочее время и без нарушения рабочего процесса. При наличии конкретных признаков нарушения или по требованию надзорного органа проверка возможна также в короткие сроки и чаще.</w:t>
      </w:r>
    </w:p>
    <w:p>
      <w:r>
        <w:t>11.3 Проверка не распространяется на данные других клиентов и на центры обработки данных субобработчиков. В отношении них действуют их сертификаты и отчёты о проверках. Каждая Сторона несёт собственные расходы на проверку.</w:t>
      </w:r>
    </w:p>
    <w:p>
      <w:pPr>
        <w:pStyle w:val="Heading2"/>
      </w:pPr>
      <w:r>
        <w:t>12. Удаление и возврат данных</w:t>
      </w:r>
    </w:p>
    <w:p>
      <w:r>
        <w:t>12.1 В течение срока действия договора Клиент может в любое время самостоятельно удалять свои данные и экспортировать их в распространённых форматах. Удалённое содержимое немедленно исключается из активного массива данных.</w:t>
      </w:r>
    </w:p>
    <w:p>
      <w:r>
        <w:t>12.2 Загруженные исходные файлы scryp удаляет автоматически после завершения обработки, как правило в течение нескольких минут, но не позднее чем через 72 часа после загрузки. Сохраняются только зашифрованная версия для воспроизведения, зашифрованная транскрипция и зашифрованные результаты анализа.</w:t>
      </w:r>
    </w:p>
    <w:p>
      <w:r>
        <w:t>12.3 После окончания Основного договора содержимое остаётся доступным Клиенту для экспорта ещё до 90 дней. После этого scryp автоматически удаляет его, включая все копии. Если Клиент удаляет свою учётную запись, все данные удаляются немедленно.</w:t>
      </w:r>
    </w:p>
    <w:p>
      <w:r>
        <w:t>12.4 Резервные копии служат только для восстановления системы в целом. Они содержат содержимое Клиента исключительно в зашифрованном виде и перезаписываются не позднее чем через 30 дней. Восстановление отдельных удалённых данных Клиента из резервных копий не производится.</w:t>
      </w:r>
    </w:p>
    <w:p>
      <w:r>
        <w:t>12.5 Данные, дальнейшее хранение которых требуется от scryp в силу установленных законом обязанностей по хранению (например, данные счетов согласно § 132 BAO), не подлежат удалению. Они блокируются и удаляются по истечении установленного срока.</w:t>
      </w:r>
    </w:p>
    <w:p>
      <w:r>
        <w:t>12.6 По запросу scryp подтверждает удаление в письменной форме; достаточно электронного письма.</w:t>
      </w:r>
    </w:p>
    <w:p>
      <w:pPr>
        <w:pStyle w:val="Heading2"/>
      </w:pPr>
      <w:r>
        <w:t>13. Ответственность</w:t>
      </w:r>
    </w:p>
    <w:p>
      <w:r>
        <w:t>13.1 Перед субъектами данных Стороны несут ответственность в соответствии со ст. 82 GDPR.</w:t>
      </w:r>
    </w:p>
    <w:p>
      <w:r>
        <w:t>13.2 В отношениях между Сторонами применяются положения об ответственности Основного договора в пределах, допускаемых законом. За субобработчиков scryp отвечает как за собственные действия (пункт 7.4).</w:t>
      </w:r>
    </w:p>
    <w:p>
      <w:r>
        <w:t>13.3 Если одна Сторона выплатила возмещение ущерба субъектам данных, она может потребовать от другой Стороны возврата той части, которая соответствует доле ответственности последней за ущерб (ст. 82(5) GDPR).</w:t>
      </w:r>
    </w:p>
    <w:p>
      <w:r>
        <w:t>13.4 Если Клиент сохраняет в силе указание, несмотря на полученное от scryp согласно пункту 3.3 уведомление о его неправомерности, Клиент освобождает scryp от всех требований третьих лиц и штрафов, основанных на этом указании.</w:t>
      </w:r>
    </w:p>
    <w:p>
      <w:pPr>
        <w:pStyle w:val="Heading2"/>
      </w:pPr>
      <w:r>
        <w:t>14. Срок действия, приостановление и прекращение</w:t>
      </w:r>
    </w:p>
    <w:p>
      <w:r>
        <w:t>14.1 Настоящее Соглашение действует, пока scryp обрабатывает данные для Клиента, то есть в течение срока действия Основного договора и до завершения удаления согласно пункту 12.</w:t>
      </w:r>
    </w:p>
    <w:p>
      <w:r>
        <w:t>14.2 Использование услуги без настоящего Соглашения для клиентов согласно пункту 1.4 не предусмотрено. Поэтому расторжение настоящего Соглашения одновременно считается расторжением Основного договора.</w:t>
      </w:r>
    </w:p>
    <w:p>
      <w:r>
        <w:t>14.3 Если scryp нарушает настоящее Соглашение, Клиент может потребовать приостановления соответствующей обработки со стороны scryp до устранения нарушения. Если scryp не устраняет существенное нарушение в течение одного месяца после требования, Клиент может расторгнуть Основной договор без соблюдения срока предупреждения.</w:t>
      </w:r>
    </w:p>
    <w:p>
      <w:pPr>
        <w:pStyle w:val="Heading2"/>
      </w:pPr>
      <w:r>
        <w:t>15. Заключительные положения</w:t>
      </w:r>
    </w:p>
    <w:p>
      <w:r>
        <w:t>15.1 Настоящее Соглашение заключается в электронной форме (ст. 28(9) GDPR). Для клиентов согласно пункту 1.4 оно становится частью договора путём включения в Условия предоставления услуг при заключении Основного договора; стороной договора в этом случае является владелец учётной записи scryp с указанными в ней данными. Кроме того, оно может быть заключено путём подписания настоящего документа обеими Сторонами, в том числе в виде электронной копии.</w:t>
      </w:r>
    </w:p>
    <w:p>
      <w:r>
        <w:t>15.2 Изменения настоящего Соглашения требуют письменной формы; достаточно электронного письма. scryp вправе изменять Приложение 2 согласно пункту 6.2 и Приложение 3 согласно пункту 7.2. Об иных изменениях scryp уведомляет по электронной почте не менее чем за 30 дней до их вступления в силу; Клиент может до этого момента заявить возражение и расторгнуть Основной договор на эту дату. scryp хранит каждую редакцию настоящего Соглашения с номером версии и датой.</w:t>
      </w:r>
    </w:p>
    <w:p>
      <w:r>
        <w:t>15.3 Применяется право Австрии; GDPR остаётся в силе. Если Клиент является предпринимателем, все споры из настоящего Соглашения подлежат исключительной подсудности компетентного по предмету спора суда в Вене. Императивные положения закона о подсудности остаются в силе.</w:t>
      </w:r>
    </w:p>
    <w:p>
      <w:r>
        <w:t>15.4 Если какое-либо положение окажется недействительным, остальная часть Соглашения сохраняет силу. Вместо недействительного положения применяется норма закона, наиболее близкая к его цели.</w:t>
      </w:r>
    </w:p>
    <w:p>
      <w:r>
        <w:t>15.5 Контактным лицом по всем вопросам настоящего Соглашения со стороны scryp является datenschutz@scryp.at. Со стороны Клиента - адрес электронной почты учётной записи scryp, если Клиент не сообщит иное.</w:t>
      </w:r>
    </w:p>
    <w:p>
      <w:r>
        <w:t>15.6 scryp предоставляет настоящее Соглашение на нескольких языках. Обязательную силу имеет немецкая версия; переводы служат для удобства понимания. При расхождениях применяется немецкий текст.</w:t>
      </w:r>
    </w:p>
    <w:p>
      <w:pPr>
        <w:pStyle w:val="Heading2"/>
      </w:pPr>
      <w:r>
        <w:t>Подписи</w:t>
      </w:r>
    </w:p>
    <w:tbl>
      <w:tblPr>
        <w:tblW w:type="auto" w:w="0"/>
        <w:tblLayout w:type="fixed"/>
        <w:tblLook w:firstColumn="1" w:firstRow="1" w:lastColumn="0" w:lastRow="0" w:noHBand="0" w:noVBand="1" w:val="04A0"/>
      </w:tblPr>
      <w:tblGrid>
        <w:gridCol w:w="3286"/>
        <w:gridCol w:w="3286"/>
        <w:gridCol w:w="3286"/>
      </w:tblGrid>
      <w:tr>
        <w:tc>
          <w:tcPr>
            <w:tcW w:type="dxa" w:w="4309"/>
          </w:tcPr>
          <w:p>
            <w:pPr>
              <w:spacing w:after="80"/>
            </w:pPr>
            <w:r/>
            <w:r>
              <w:rPr>
                <w:b/>
              </w:rPr>
              <w:t>За Клиента</w:t>
            </w:r>
          </w:p>
          <w:p>
            <w:pPr>
              <w:spacing w:before="440" w:after="0"/>
              <w:pBdr>
                <w:bottom w:val="single" w:sz="6" w:space="1" w:color="6B7280"/>
              </w:pBdr>
            </w:pPr>
          </w:p>
          <w:p>
            <w:pPr>
              <w:spacing w:before="40" w:after="0"/>
            </w:pPr>
            <w:r>
              <w:rPr>
                <w:color w:val="6B7280"/>
                <w:sz w:val="17"/>
              </w:rPr>
              <w:t>Место, дата</w:t>
            </w:r>
          </w:p>
          <w:p>
            <w:pPr>
              <w:spacing w:before="440" w:after="0"/>
              <w:pBdr>
                <w:bottom w:val="single" w:sz="6" w:space="1" w:color="6B7280"/>
              </w:pBdr>
            </w:pPr>
          </w:p>
          <w:p>
            <w:pPr>
              <w:spacing w:before="40" w:after="0"/>
            </w:pPr>
            <w:r>
              <w:rPr>
                <w:color w:val="6B7280"/>
                <w:sz w:val="17"/>
              </w:rPr>
              <w:t>Имя, должность</w:t>
            </w:r>
          </w:p>
          <w:p>
            <w:pPr>
              <w:spacing w:before="440" w:after="0"/>
              <w:pBdr>
                <w:bottom w:val="single" w:sz="6" w:space="1" w:color="6B7280"/>
              </w:pBdr>
            </w:pPr>
          </w:p>
          <w:p>
            <w:pPr>
              <w:spacing w:before="40" w:after="0"/>
            </w:pPr>
            <w:r>
              <w:rPr>
                <w:color w:val="6B7280"/>
                <w:sz w:val="17"/>
              </w:rPr>
              <w:t>Подпись</w:t>
            </w:r>
          </w:p>
        </w:tc>
        <w:tc>
          <w:tcPr>
            <w:tcW w:type="dxa" w:w="680"/>
          </w:tcPr>
          <w:p/>
        </w:tc>
        <w:tc>
          <w:tcPr>
            <w:tcW w:type="dxa" w:w="4309"/>
          </w:tcPr>
          <w:p>
            <w:pPr>
              <w:spacing w:after="80"/>
            </w:pPr>
            <w:r/>
            <w:r>
              <w:rPr>
                <w:b/>
              </w:rPr>
              <w:t>За scryp</w:t>
            </w:r>
          </w:p>
          <w:p>
            <w:pPr>
              <w:spacing w:before="440" w:after="0"/>
              <w:pBdr>
                <w:bottom w:val="single" w:sz="6" w:space="1" w:color="6B7280"/>
              </w:pBdr>
            </w:pPr>
          </w:p>
          <w:p>
            <w:pPr>
              <w:spacing w:before="40" w:after="0"/>
            </w:pPr>
            <w:r>
              <w:rPr>
                <w:color w:val="6B7280"/>
                <w:sz w:val="17"/>
              </w:rPr>
              <w:t>Место, дата</w:t>
            </w:r>
          </w:p>
          <w:p>
            <w:pPr>
              <w:spacing w:before="440" w:after="0"/>
              <w:pBdr>
                <w:bottom w:val="single" w:sz="6" w:space="1" w:color="6B7280"/>
              </w:pBdr>
            </w:pPr>
          </w:p>
          <w:p>
            <w:pPr>
              <w:spacing w:before="40" w:after="0"/>
            </w:pPr>
            <w:r>
              <w:rPr>
                <w:color w:val="6B7280"/>
                <w:sz w:val="17"/>
              </w:rPr>
              <w:t>Gökhan Sagir, индивидуальный предприниматель</w:t>
            </w:r>
          </w:p>
          <w:p>
            <w:pPr>
              <w:spacing w:before="440" w:after="0"/>
              <w:pBdr>
                <w:bottom w:val="single" w:sz="6" w:space="1" w:color="6B7280"/>
              </w:pBdr>
            </w:pPr>
          </w:p>
          <w:p>
            <w:pPr>
              <w:spacing w:before="40" w:after="0"/>
            </w:pPr>
            <w:r>
              <w:rPr>
                <w:color w:val="6B7280"/>
                <w:sz w:val="17"/>
              </w:rPr>
              <w:t>Подпись</w:t>
            </w:r>
          </w:p>
        </w:tc>
      </w:tr>
    </w:tbl>
    <w:p/>
    <w:p>
      <w:r>
        <w:br w:type="page"/>
      </w:r>
    </w:p>
    <w:p>
      <w:pPr>
        <w:pStyle w:val="Heading1"/>
      </w:pPr>
      <w:r>
        <w:t>Приложение 1: Описание обработки</w:t>
      </w:r>
    </w:p>
    <w:tbl>
      <w:tblPr>
        <w:tblStyle w:val="TableGrid"/>
        <w:tblW w:type="auto" w:w="0"/>
        <w:jc w:val="center"/>
        <w:tblLook w:firstColumn="1" w:firstRow="1" w:lastColumn="0" w:lastRow="0" w:noHBand="0" w:noVBand="1" w:val="04A0"/>
      </w:tblPr>
      <w:tblGrid>
        <w:gridCol w:w="4929"/>
        <w:gridCol w:w="4929"/>
      </w:tblGrid>
      <w:tr>
        <w:tc>
          <w:tcPr>
            <w:tcW w:type="dxa" w:w="2268"/>
            <w:shd w:val="clear" w:color="auto" w:fill="E5E7EB"/>
          </w:tcPr>
          <w:p>
            <w:r/>
            <w:r>
              <w:rPr>
                <w:b/>
                <w:sz w:val="19"/>
              </w:rPr>
              <w:t>Пункт</w:t>
            </w:r>
          </w:p>
        </w:tc>
        <w:tc>
          <w:tcPr>
            <w:tcW w:type="dxa" w:w="7143"/>
            <w:shd w:val="clear" w:color="auto" w:fill="E5E7EB"/>
          </w:tcPr>
          <w:p>
            <w:r/>
            <w:r>
              <w:rPr>
                <w:b/>
                <w:sz w:val="19"/>
              </w:rPr>
              <w:t>Описание</w:t>
            </w:r>
          </w:p>
        </w:tc>
      </w:tr>
      <w:tr>
        <w:tc>
          <w:tcPr>
            <w:tcW w:type="dxa" w:w="2268"/>
          </w:tcPr>
          <w:p>
            <w:r/>
            <w:r>
              <w:rPr>
                <w:sz w:val="19"/>
              </w:rPr>
              <w:t>Предмет</w:t>
            </w:r>
          </w:p>
        </w:tc>
        <w:tc>
          <w:tcPr>
            <w:tcW w:type="dxa" w:w="7143"/>
          </w:tcPr>
          <w:p>
            <w:r/>
            <w:r>
              <w:rPr>
                <w:sz w:val="19"/>
              </w:rPr>
              <w:t>Предоставление услуги scryp: транскрибирование аудио- и видеозаписей с распознаванием речи и распознаванием говорящих, в плане Ultra дополнительно функции ИИ (анализ с помощью ИИ: краткое изложение, протокол, список задач, текст для социальных сетей), а также хранение, редактирование, экспорт результатов и предоставление доступа к ним.</w:t>
            </w:r>
          </w:p>
        </w:tc>
      </w:tr>
      <w:tr>
        <w:tc>
          <w:tcPr>
            <w:tcW w:type="dxa" w:w="2268"/>
          </w:tcPr>
          <w:p>
            <w:r/>
            <w:r>
              <w:rPr>
                <w:sz w:val="19"/>
              </w:rPr>
              <w:t>Цель</w:t>
            </w:r>
          </w:p>
        </w:tc>
        <w:tc>
          <w:tcPr>
            <w:tcW w:type="dxa" w:w="7143"/>
          </w:tcPr>
          <w:p>
            <w:r/>
            <w:r>
              <w:rPr>
                <w:sz w:val="19"/>
              </w:rPr>
              <w:t>Клиент поручает преобразовать собственные записи в текст и проанализировать их, например совещания, интервью, диктовки, консультационные беседы, доклады или подкасты.</w:t>
            </w:r>
          </w:p>
        </w:tc>
      </w:tr>
      <w:tr>
        <w:tc>
          <w:tcPr>
            <w:tcW w:type="dxa" w:w="2268"/>
          </w:tcPr>
          <w:p>
            <w:r/>
            <w:r>
              <w:rPr>
                <w:sz w:val="19"/>
              </w:rPr>
              <w:t>Характер обработки</w:t>
            </w:r>
          </w:p>
        </w:tc>
        <w:tc>
          <w:tcPr>
            <w:tcW w:type="dxa" w:w="7143"/>
          </w:tcPr>
          <w:p>
            <w:r/>
            <w:r>
              <w:rPr>
                <w:sz w:val="19"/>
              </w:rPr>
              <w:t>Приём зашифрованных файлов, кратковременное расшифрование в оперативной памяти серверов обработки, автоматическое транскрибирование и анализ, шифрование результатов, зашифрованное хранение, предоставление в учётной записи Клиента, удаление.</w:t>
            </w:r>
          </w:p>
        </w:tc>
      </w:tr>
      <w:tr>
        <w:tc>
          <w:tcPr>
            <w:tcW w:type="dxa" w:w="2268"/>
          </w:tcPr>
          <w:p>
            <w:r/>
            <w:r>
              <w:rPr>
                <w:sz w:val="19"/>
              </w:rPr>
              <w:t>Виды данных</w:t>
            </w:r>
          </w:p>
        </w:tc>
        <w:tc>
          <w:tcPr>
            <w:tcW w:type="dxa" w:w="7143"/>
          </w:tcPr>
          <w:p>
            <w:r/>
            <w:r>
              <w:rPr>
                <w:sz w:val="19"/>
              </w:rPr>
              <w:t>Аудиозаписи и видео (голос, произнесённое содержание), созданные на их основе транскрипции и результаты анализа, привязка реплик к говорящим, присвоенные Клиентом имена файлов и папок, технические метаданные (длительность, размер файла, временные отметки, распознанный язык, статус обработки), при предоставлении доступа к транскрипциям - ссылка для доступа. Всё содержимое хранится в зашифрованном виде; только технические метаданные существуют в открытом виде.</w:t>
            </w:r>
          </w:p>
        </w:tc>
      </w:tr>
      <w:tr>
        <w:tc>
          <w:tcPr>
            <w:tcW w:type="dxa" w:w="2268"/>
          </w:tcPr>
          <w:p>
            <w:r/>
            <w:r>
              <w:rPr>
                <w:sz w:val="19"/>
              </w:rPr>
              <w:t>Особые категории (ст. 9 GDPR)</w:t>
            </w:r>
          </w:p>
        </w:tc>
        <w:tc>
          <w:tcPr>
            <w:tcW w:type="dxa" w:w="7143"/>
          </w:tcPr>
          <w:p>
            <w:r/>
            <w:r>
              <w:rPr>
                <w:sz w:val="19"/>
              </w:rPr>
              <w:t>Возможны в зависимости от содержания записей Клиента (например, данные о здоровье в диктовках врачей, сведения из консультаций или бесед с доверителями). scryp не знает содержания. Допустимость проверяет Клиент согласно пункту 4.2.</w:t>
            </w:r>
          </w:p>
        </w:tc>
      </w:tr>
      <w:tr>
        <w:tc>
          <w:tcPr>
            <w:tcW w:type="dxa" w:w="2268"/>
          </w:tcPr>
          <w:p>
            <w:r/>
            <w:r>
              <w:rPr>
                <w:sz w:val="19"/>
              </w:rPr>
              <w:t>Гарантии для особых категорий</w:t>
            </w:r>
          </w:p>
        </w:tc>
        <w:tc>
          <w:tcPr>
            <w:tcW w:type="dxa" w:w="7143"/>
          </w:tcPr>
          <w:p>
            <w:r/>
            <w:r>
              <w:rPr>
                <w:sz w:val="19"/>
              </w:rPr>
              <w:t>Шифрование в браузере Клиента, открытый текст только в оперативной памяти собственных серверов scryp в Вене, отсутствие передачи содержимого субобработчикам в открытом виде, отсутствие доступа лиц к содержимому в ходе текущей эксплуатации, обязанность сохранения тайны согласно пункту 5, отсутствие обучения моделей ИИ на данных клиентов.</w:t>
            </w:r>
          </w:p>
        </w:tc>
      </w:tr>
      <w:tr>
        <w:tc>
          <w:tcPr>
            <w:tcW w:type="dxa" w:w="2268"/>
          </w:tcPr>
          <w:p>
            <w:r/>
            <w:r>
              <w:rPr>
                <w:sz w:val="19"/>
              </w:rPr>
              <w:t>Субъекты данных</w:t>
            </w:r>
          </w:p>
        </w:tc>
        <w:tc>
          <w:tcPr>
            <w:tcW w:type="dxa" w:w="7143"/>
          </w:tcPr>
          <w:p>
            <w:r/>
            <w:r>
              <w:rPr>
                <w:sz w:val="19"/>
              </w:rPr>
              <w:t>Лица, которые говорят в записях или упоминаются в них (например, сотрудники, клиенты, пациенты, доверители, участники интервью, участники совещаний и мероприятий), а также пользователи учётной записи Клиента.</w:t>
            </w:r>
          </w:p>
        </w:tc>
      </w:tr>
      <w:tr>
        <w:tc>
          <w:tcPr>
            <w:tcW w:type="dxa" w:w="2268"/>
          </w:tcPr>
          <w:p>
            <w:r/>
            <w:r>
              <w:rPr>
                <w:sz w:val="19"/>
              </w:rPr>
              <w:t>Места обработки</w:t>
            </w:r>
          </w:p>
        </w:tc>
        <w:tc>
          <w:tcPr>
            <w:tcW w:type="dxa" w:w="7143"/>
          </w:tcPr>
          <w:p>
            <w:r/>
            <w:r>
              <w:rPr>
                <w:sz w:val="19"/>
              </w:rPr>
              <w:t>Транскрибирование и анализ с помощью ИИ: собственные GPU-серверы scryp в Вене, Австрия. Веб-приложение, интерфейсы, база данных, зашифрованное файловое хранилище и резервные копии: центр обработки данных Hetzner Online GmbH в Нюрнберге, Германия.</w:t>
            </w:r>
          </w:p>
        </w:tc>
      </w:tr>
      <w:tr>
        <w:tc>
          <w:tcPr>
            <w:tcW w:type="dxa" w:w="2268"/>
          </w:tcPr>
          <w:p>
            <w:r/>
            <w:r>
              <w:rPr>
                <w:sz w:val="19"/>
              </w:rPr>
              <w:t>Срок</w:t>
            </w:r>
          </w:p>
        </w:tc>
        <w:tc>
          <w:tcPr>
            <w:tcW w:type="dxa" w:w="7143"/>
          </w:tcPr>
          <w:p>
            <w:r/>
            <w:r>
              <w:rPr>
                <w:sz w:val="19"/>
              </w:rPr>
              <w:t>Срок действия Основного договора с учётом сроков удаления согласно пункту 12.</w:t>
            </w:r>
          </w:p>
        </w:tc>
      </w:tr>
    </w:tbl>
    <w:p/>
    <w:p>
      <w:r>
        <w:br w:type="page"/>
      </w:r>
    </w:p>
    <w:p>
      <w:pPr>
        <w:pStyle w:val="Heading1"/>
      </w:pPr>
      <w:r>
        <w:t>Приложение 2: Технические и организационные меры (ст. 32 GDPR)</w:t>
      </w:r>
    </w:p>
    <w:p>
      <w:r>
        <w:t>По состоянию на 22 сентября 2026 г. Меры описывают штатный режим работы scryp.</w:t>
      </w:r>
    </w:p>
    <w:p>
      <w:pPr>
        <w:pStyle w:val="Heading2"/>
      </w:pPr>
      <w:r>
        <w:t>1. Шифрование и архитектура Zero-Knowledge</w:t>
      </w:r>
    </w:p>
    <w:p>
      <w:pPr>
        <w:pStyle w:val="ListBullet"/>
      </w:pPr>
      <w:r>
        <w:t>Записи шифруются уже в браузере Клиента с помощью AES-256-GCM до передачи в scryp. Для каждого файла создаётся собственный ключ файла (FEK).</w:t>
      </w:r>
    </w:p>
    <w:p>
      <w:pPr>
        <w:pStyle w:val="ListBullet"/>
      </w:pPr>
      <w:r>
        <w:t>Ключи файлов шифруются главным ключом учётной записи (MEK). Главный ключ доступен только с помощью пароля Клиента (формирование ключа по PBKDF2-SHA256, 600 000 итераций). scryp не знает ни пароля, ни главного ключа в открытом виде.</w:t>
      </w:r>
    </w:p>
    <w:p>
      <w:pPr>
        <w:pStyle w:val="ListBullet"/>
      </w:pPr>
      <w:r>
        <w:t>Для транскрибирования браузер передаёт в scryp ключ файла, зашифрованный серверным ключом (RSA-4096, OAEP). Сервер обработки расшифровывает запись исключительно в оперативной памяти. Временные файлы находятся в файловой системе в оперативной памяти и уничтожаются после выполнения задания; незашифрованное содержимое ни в какой момент не записывается на носители данных.</w:t>
      </w:r>
    </w:p>
    <w:p>
      <w:pPr>
        <w:pStyle w:val="ListBullet"/>
      </w:pPr>
      <w:r>
        <w:t>Транскрипции и результаты анализа шифруются ключом файла сразу после создания и хранятся только в зашифрованном виде. Имена файлов и папок шифруются в браузере.</w:t>
      </w:r>
    </w:p>
    <w:p>
      <w:pPr>
        <w:pStyle w:val="ListBullet"/>
      </w:pPr>
      <w:r>
        <w:t>При предоставлении доступа к транскрипции ключ файла шифруется ключом, сформированным из пароля для предоставления доступа. Получатели расшифровывают данные исключительно в собственном браузере.</w:t>
      </w:r>
    </w:p>
    <w:p>
      <w:pPr>
        <w:pStyle w:val="ListBullet"/>
      </w:pPr>
      <w:r>
        <w:t>Исключение - загрузка по URL: если Клиент получает запись по интернет-адресу, сервер обработки загружает файл напрямую, обрабатывает его в оперативной памяти и затем удаляет; транскрипция и версия для воспроизведения сохраняются, как и в остальных случаях, в зашифрованном виде.</w:t>
      </w:r>
    </w:p>
    <w:p>
      <w:pPr>
        <w:pStyle w:val="ListBullet"/>
      </w:pPr>
      <w:r>
        <w:t>Все соединения шифруются с помощью TLS 1.2 или 1.3.</w:t>
      </w:r>
    </w:p>
    <w:p>
      <w:pPr>
        <w:pStyle w:val="Heading2"/>
      </w:pPr>
      <w:r>
        <w:t>2. Контроль физического доступа</w:t>
      </w:r>
    </w:p>
    <w:p>
      <w:pPr>
        <w:pStyle w:val="ListBullet"/>
      </w:pPr>
      <w:r>
        <w:t>Веб-приложение, база данных, файловое хранилище и резервные копии работают в центре обработки данных Hetzner Online GmbH в Нюрнберге (сертификация ISO/IEC 27001, аттестация BSI C5 типа 2) с контролем физического доступа, видеонаблюдением и охраной оператора.</w:t>
      </w:r>
    </w:p>
    <w:p>
      <w:pPr>
        <w:pStyle w:val="ListBullet"/>
      </w:pPr>
      <w:r>
        <w:t>GPU-серверы для транскрибирования и анализа с помощью ИИ находятся в собственных закрытых помещениях scryp в Вене. Доступ имеют только уполномоченные лица; вход заперт механически и дополнительно защищён биометрической системой.</w:t>
      </w:r>
    </w:p>
    <w:p>
      <w:pPr>
        <w:pStyle w:val="ListBullet"/>
      </w:pPr>
      <w:r>
        <w:t>Все носители данных этих серверов полностью зашифрованы. В случае кражи или извлечения носителя данные без ключа остаются нечитаемыми. Незашифрованное содержимое существует на этих серверах только в оперативной памяти во время выполнения текущего задания и никогда не записывается на носители данных.</w:t>
      </w:r>
    </w:p>
    <w:p>
      <w:pPr>
        <w:pStyle w:val="Heading2"/>
      </w:pPr>
      <w:r>
        <w:t>3. Контроль доступа к системам и данным</w:t>
      </w:r>
    </w:p>
    <w:p>
      <w:pPr>
        <w:pStyle w:val="ListBullet"/>
      </w:pPr>
      <w:r>
        <w:t>Доступ к серверам только для администраторов scryp по зашифрованным SSH-соединениям с персональными ключами либо случайно сгенерированными надёжными паролями; доступ по принципу наименьших привилегий.</w:t>
      </w:r>
    </w:p>
    <w:p>
      <w:pPr>
        <w:pStyle w:val="ListBullet"/>
      </w:pPr>
      <w:r>
        <w:t>Отдельный административный интерфейс с собственной процедурой входа, доступ ограничен разрешёнными IP-адресами. Административный интерфейс показывает только метаданные учётных записей и заданий, но не содержимое.</w:t>
      </w:r>
    </w:p>
    <w:p>
      <w:pPr>
        <w:pStyle w:val="ListBullet"/>
      </w:pPr>
      <w:r>
        <w:t>Учётные записи пользователей: пароли хешируются с помощью Argon2id; защита от попыток входа посредством ограничения частоты запросов и временной блокировки; сеансы работают без файлов cookie, с короткоживущими токенами.</w:t>
      </w:r>
    </w:p>
    <w:p>
      <w:pPr>
        <w:pStyle w:val="ListBullet"/>
      </w:pPr>
      <w:r>
        <w:t>Защита интерфейсов от злоупотреблений и перегрузки посредством ограничения частоты запросов и автоматических блокировок.</w:t>
      </w:r>
    </w:p>
    <w:p>
      <w:pPr>
        <w:pStyle w:val="ListBullet"/>
      </w:pPr>
      <w:r>
        <w:t>Автоматизированные службы (серверы обработки) аутентифицируются с помощью собственных, подлежащих ротации учётных данных и получают только ключи, необходимые для соответствующего задания.</w:t>
      </w:r>
    </w:p>
    <w:p>
      <w:pPr>
        <w:pStyle w:val="Heading2"/>
      </w:pPr>
      <w:r>
        <w:t>4. Контроль разделения данных и псевдонимизация</w:t>
      </w:r>
    </w:p>
    <w:p>
      <w:pPr>
        <w:pStyle w:val="ListBullet"/>
      </w:pPr>
      <w:r>
        <w:t>Криптографическое разделение: у каждого Клиента собственный главный ключ, у каждого файла собственный ключ файла. Содержимое одного Клиента невозможно прочитать с помощью чужих ключей.</w:t>
      </w:r>
    </w:p>
    <w:p>
      <w:pPr>
        <w:pStyle w:val="ListBullet"/>
      </w:pPr>
      <w:r>
        <w:t>Логическое разделение производственных систем, баз данных, кеша и систем мониторинга в отдельных сетевых сегментах.</w:t>
      </w:r>
    </w:p>
    <w:p>
      <w:pPr>
        <w:pStyle w:val="ListBullet"/>
      </w:pPr>
      <w:r>
        <w:t>Задания на обработку, направляемые GPU-серверам, не содержат ни имён, ни адресов электронной почты - только технические данные, необходимые для задания.</w:t>
      </w:r>
    </w:p>
    <w:p>
      <w:pPr>
        <w:pStyle w:val="Heading2"/>
      </w:pPr>
      <w:r>
        <w:t>5. Целостность и прослеживаемость</w:t>
      </w:r>
    </w:p>
    <w:p>
      <w:pPr>
        <w:pStyle w:val="ListBullet"/>
      </w:pPr>
      <w:r>
        <w:t>Все изменения приложения и инфраструктуры выполняются через версионируемый исходный код и автоматизированное прослеживаемое развёртывание; образы программного обеспечения фиксируются по их контрольной сумме.</w:t>
      </w:r>
    </w:p>
    <w:p>
      <w:pPr>
        <w:pStyle w:val="ListBullet"/>
      </w:pPr>
      <w:r>
        <w:t>События учётной записи (например, вход, удаление, изменения подписки) протоколируются с указанием времени, без IP-адресов.</w:t>
      </w:r>
    </w:p>
    <w:p>
      <w:pPr>
        <w:pStyle w:val="ListBullet"/>
      </w:pPr>
      <w:r>
        <w:t>Системные журналы не содержат содержимого и удаляются через 14 дней. IP-адреса не сохраняются и не протоколируются. Для защиты от злоупотреблений обращения учитываются только по короткоживущему псевдониму, сформированному с помощью секретного ключа и не поддающемуся обратному вычислению, который утрачивает силу не позднее чем через один час.</w:t>
      </w:r>
    </w:p>
    <w:p>
      <w:pPr>
        <w:pStyle w:val="Heading2"/>
      </w:pPr>
      <w:r>
        <w:t>6. Доступность и устойчивость</w:t>
      </w:r>
    </w:p>
    <w:p>
      <w:pPr>
        <w:pStyle w:val="ListBullet"/>
      </w:pPr>
      <w:r>
        <w:t>Высокодоступный кластер из трёх серверов с балансировкой нагрузки; база данных с синхронной репликацией на три узла; кеш с автоматическим переключением при отказе.</w:t>
      </w:r>
    </w:p>
    <w:p>
      <w:pPr>
        <w:pStyle w:val="ListBullet"/>
      </w:pPr>
      <w:r>
        <w:t>Ежедневное зашифрованное резервное копирование базы данных с возможностью восстановления на любой момент времени за последние 30 дней; конфигурация кластера сохраняется каждые шесть часов. Резервные копии находятся в центре обработки данных в Нюрнберге.</w:t>
      </w:r>
    </w:p>
    <w:p>
      <w:pPr>
        <w:pStyle w:val="ListBullet"/>
      </w:pPr>
      <w:r>
        <w:t>Развёртывание новых версий без перерыва в работе; защита от атак на перегрузку на сетевом и прикладном уровнях.</w:t>
      </w:r>
    </w:p>
    <w:p>
      <w:pPr>
        <w:pStyle w:val="ListBullet"/>
      </w:pPr>
      <w:r>
        <w:t>Непрерывный мониторинг с автоматическим оповещением при сбоях.</w:t>
      </w:r>
    </w:p>
    <w:p>
      <w:pPr>
        <w:pStyle w:val="Heading2"/>
      </w:pPr>
      <w:r>
        <w:t>7. Удаление и минимизация данных</w:t>
      </w:r>
    </w:p>
    <w:p>
      <w:pPr>
        <w:pStyle w:val="ListBullet"/>
      </w:pPr>
      <w:r>
        <w:t>Загруженные исходные файлы удаляются после обработки, как правило в течение нескольких минут; автоматическое правило удаляет оставшиеся загрузки не позднее чем через 72 часа.</w:t>
      </w:r>
    </w:p>
    <w:p>
      <w:pPr>
        <w:pStyle w:val="ListBullet"/>
      </w:pPr>
      <w:r>
        <w:t>Клиент в любое время самостоятельно удаляет содержимое и учётную запись; удаление немедленно вступает в силу в активном массиве данных. После окончания подписки содержимое автоматически удаляется через 90 дней.</w:t>
      </w:r>
    </w:p>
    <w:p>
      <w:pPr>
        <w:pStyle w:val="ListBullet"/>
      </w:pPr>
      <w:r>
        <w:t>Никаких файлов cookie, никаких сторонних инструментов отслеживания или аналитики, никакого хранения IP-адресов.</w:t>
      </w:r>
    </w:p>
    <w:p>
      <w:pPr>
        <w:pStyle w:val="Heading2"/>
      </w:pPr>
      <w:r>
        <w:t>8. Организация</w:t>
      </w:r>
    </w:p>
    <w:p>
      <w:pPr>
        <w:pStyle w:val="ListBullet"/>
      </w:pPr>
      <w:r>
        <w:t>Все лица, работающие в scryp, приняли обязательство соблюдать тайну данных и конфиденциальность и ознакомлены с архитектурой безопасности.</w:t>
      </w:r>
    </w:p>
    <w:p>
      <w:pPr>
        <w:pStyle w:val="ListBullet"/>
      </w:pPr>
      <w:r>
        <w:t>scryp ведёт реестр операций по обработке (ст. 30 GDPR). Оценка воздействия на защиту данных, реестр и настоящие меры пересматриваются не реже одного раза в год и при существенных изменениях.</w:t>
      </w:r>
    </w:p>
    <w:p>
      <w:pPr>
        <w:pStyle w:val="ListBullet"/>
      </w:pPr>
      <w:r>
        <w:t>Процесс обработки инцидентов: выявление посредством мониторинга, оценка, локализация, уведомление затронутых клиентов согласно пункту 10 Соглашения, последующий анализ.</w:t>
      </w:r>
    </w:p>
    <w:p>
      <w:pPr>
        <w:pStyle w:val="ListBullet"/>
      </w:pPr>
      <w:r>
        <w:t>Субобработчики до привлечения проверяются на предмет их гарантий и связываются договорными обязательствами в соответствии со ст. 28(4) GDPR.</w:t>
      </w:r>
    </w:p>
    <w:p>
      <w:r>
        <w:br w:type="page"/>
      </w:r>
    </w:p>
    <w:p>
      <w:pPr>
        <w:pStyle w:val="Heading1"/>
      </w:pPr>
      <w:r>
        <w:t>Приложение 3: Субобработчики</w:t>
      </w:r>
    </w:p>
    <w:p>
      <w:r>
        <w:t>По состоянию на 22 сентября 2026 г.</w:t>
      </w:r>
    </w:p>
    <w:tbl>
      <w:tblPr>
        <w:tblStyle w:val="TableGrid"/>
        <w:tblW w:type="auto" w:w="0"/>
        <w:jc w:val="center"/>
        <w:tblLook w:firstColumn="1" w:firstRow="1" w:lastColumn="0" w:lastRow="0" w:noHBand="0" w:noVBand="1" w:val="04A0"/>
      </w:tblPr>
      <w:tblGrid>
        <w:gridCol w:w="1972"/>
        <w:gridCol w:w="1972"/>
        <w:gridCol w:w="1972"/>
        <w:gridCol w:w="1972"/>
        <w:gridCol w:w="1972"/>
      </w:tblGrid>
      <w:tr>
        <w:tc>
          <w:tcPr>
            <w:tcW w:type="dxa" w:w="1972"/>
            <w:shd w:val="clear" w:color="auto" w:fill="E5E7EB"/>
          </w:tcPr>
          <w:p>
            <w:r/>
            <w:r>
              <w:rPr>
                <w:b/>
                <w:sz w:val="19"/>
              </w:rPr>
              <w:t>Субобработчик</w:t>
            </w:r>
          </w:p>
        </w:tc>
        <w:tc>
          <w:tcPr>
            <w:tcW w:type="dxa" w:w="1972"/>
            <w:shd w:val="clear" w:color="auto" w:fill="E5E7EB"/>
          </w:tcPr>
          <w:p>
            <w:r/>
            <w:r>
              <w:rPr>
                <w:b/>
                <w:sz w:val="19"/>
              </w:rPr>
              <w:t>Услуга</w:t>
            </w:r>
          </w:p>
        </w:tc>
        <w:tc>
          <w:tcPr>
            <w:tcW w:type="dxa" w:w="1972"/>
            <w:shd w:val="clear" w:color="auto" w:fill="E5E7EB"/>
          </w:tcPr>
          <w:p>
            <w:r/>
            <w:r>
              <w:rPr>
                <w:b/>
                <w:sz w:val="19"/>
              </w:rPr>
              <w:t>Данные</w:t>
            </w:r>
          </w:p>
        </w:tc>
        <w:tc>
          <w:tcPr>
            <w:tcW w:type="dxa" w:w="1972"/>
            <w:shd w:val="clear" w:color="auto" w:fill="E5E7EB"/>
          </w:tcPr>
          <w:p>
            <w:r/>
            <w:r>
              <w:rPr>
                <w:b/>
                <w:sz w:val="19"/>
              </w:rPr>
              <w:t>Место обработки</w:t>
            </w:r>
          </w:p>
        </w:tc>
        <w:tc>
          <w:tcPr>
            <w:tcW w:type="dxa" w:w="1972"/>
            <w:shd w:val="clear" w:color="auto" w:fill="E5E7EB"/>
          </w:tcPr>
          <w:p>
            <w:r/>
            <w:r>
              <w:rPr>
                <w:b/>
                <w:sz w:val="19"/>
              </w:rPr>
              <w:t>Гарантия</w:t>
            </w:r>
          </w:p>
        </w:tc>
      </w:tr>
      <w:tr>
        <w:tc>
          <w:tcPr>
            <w:tcW w:type="dxa" w:w="1972"/>
          </w:tcPr>
          <w:p>
            <w:r/>
            <w:r>
              <w:rPr>
                <w:sz w:val="19"/>
              </w:rPr>
              <w:t>Hetzner Online GmbH, Industriestraße 25, 91710 Gunzenhausen, Германия</w:t>
            </w:r>
          </w:p>
        </w:tc>
        <w:tc>
          <w:tcPr>
            <w:tcW w:type="dxa" w:w="1972"/>
          </w:tcPr>
          <w:p>
            <w:r/>
            <w:r>
              <w:rPr>
                <w:sz w:val="19"/>
              </w:rPr>
              <w:t>Эксплуатация серверов для веб-приложения, интерфейсов и базы данных; зашифрованное объектное хранилище; резервные копии</w:t>
            </w:r>
          </w:p>
        </w:tc>
        <w:tc>
          <w:tcPr>
            <w:tcW w:type="dxa" w:w="1972"/>
          </w:tcPr>
          <w:p>
            <w:r/>
            <w:r>
              <w:rPr>
                <w:sz w:val="19"/>
              </w:rPr>
              <w:t>Все данные, указанные в Приложении 1, содержимое исключительно в зашифрованном виде</w:t>
            </w:r>
          </w:p>
        </w:tc>
        <w:tc>
          <w:tcPr>
            <w:tcW w:type="dxa" w:w="1972"/>
          </w:tcPr>
          <w:p>
            <w:r/>
            <w:r>
              <w:rPr>
                <w:sz w:val="19"/>
              </w:rPr>
              <w:t>Нюрнберг, Германия (ЕС)</w:t>
            </w:r>
          </w:p>
        </w:tc>
        <w:tc>
          <w:tcPr>
            <w:tcW w:type="dxa" w:w="1972"/>
          </w:tcPr>
          <w:p>
            <w:r/>
            <w:r>
              <w:rPr>
                <w:sz w:val="19"/>
              </w:rPr>
              <w:t>Соглашение об обработке данных; ISO/IEC 27001; BSI C5</w:t>
            </w:r>
          </w:p>
        </w:tc>
      </w:tr>
      <w:tr>
        <w:tc>
          <w:tcPr>
            <w:tcW w:type="dxa" w:w="1972"/>
          </w:tcPr>
          <w:p>
            <w:r/>
            <w:r>
              <w:rPr>
                <w:sz w:val="19"/>
              </w:rPr>
              <w:t>Mailjet GmbH (концерн Sinch), Alt Moabit 2, 10557 Берлин, Германия</w:t>
            </w:r>
          </w:p>
        </w:tc>
        <w:tc>
          <w:tcPr>
            <w:tcW w:type="dxa" w:w="1972"/>
          </w:tcPr>
          <w:p>
            <w:r/>
            <w:r>
              <w:rPr>
                <w:sz w:val="19"/>
              </w:rPr>
              <w:t>Отправка системных электронных писем (например, уведомление «Транскрипция готова»)</w:t>
            </w:r>
          </w:p>
        </w:tc>
        <w:tc>
          <w:tcPr>
            <w:tcW w:type="dxa" w:w="1972"/>
          </w:tcPr>
          <w:p>
            <w:r/>
            <w:r>
              <w:rPr>
                <w:sz w:val="19"/>
              </w:rPr>
              <w:t>Адрес электронной почты учётной записи, дата задания, ссылка на учётную запись; без содержимого, без имён файлов</w:t>
            </w:r>
          </w:p>
        </w:tc>
        <w:tc>
          <w:tcPr>
            <w:tcW w:type="dxa" w:w="1972"/>
          </w:tcPr>
          <w:p>
            <w:r/>
            <w:r>
              <w:rPr>
                <w:sz w:val="19"/>
              </w:rPr>
              <w:t>Франция (ЕС)</w:t>
            </w:r>
          </w:p>
        </w:tc>
        <w:tc>
          <w:tcPr>
            <w:tcW w:type="dxa" w:w="1972"/>
          </w:tcPr>
          <w:p>
            <w:r/>
            <w:r>
              <w:rPr>
                <w:sz w:val="19"/>
              </w:rPr>
              <w:t>Соглашение об обработке данных; ISO/IEC 27001</w:t>
            </w:r>
          </w:p>
        </w:tc>
      </w:tr>
      <w:tr>
        <w:tc>
          <w:tcPr>
            <w:tcW w:type="dxa" w:w="1972"/>
          </w:tcPr>
          <w:p>
            <w:r/>
            <w:r>
              <w:rPr>
                <w:sz w:val="19"/>
              </w:rPr>
              <w:t>Microsoft Ireland Operations Ltd., Дублин, Ирландия</w:t>
            </w:r>
          </w:p>
        </w:tc>
        <w:tc>
          <w:tcPr>
            <w:tcW w:type="dxa" w:w="1972"/>
          </w:tcPr>
          <w:p>
            <w:r/>
            <w:r>
              <w:rPr>
                <w:sz w:val="19"/>
              </w:rPr>
              <w:t>Получение и обработка обращений в службу поддержки по электронной почте (Microsoft 365)</w:t>
            </w:r>
          </w:p>
        </w:tc>
        <w:tc>
          <w:tcPr>
            <w:tcW w:type="dxa" w:w="1972"/>
          </w:tcPr>
          <w:p>
            <w:r/>
            <w:r>
              <w:rPr>
                <w:sz w:val="19"/>
              </w:rPr>
              <w:t>Только данные, которые Клиент сам передаёт в обращении в службу поддержки</w:t>
            </w:r>
          </w:p>
        </w:tc>
        <w:tc>
          <w:tcPr>
            <w:tcW w:type="dxa" w:w="1972"/>
          </w:tcPr>
          <w:p>
            <w:r/>
            <w:r>
              <w:rPr>
                <w:sz w:val="19"/>
              </w:rPr>
              <w:t>ЕС; возможен удалённый доступ из третьих стран</w:t>
            </w:r>
          </w:p>
        </w:tc>
        <w:tc>
          <w:tcPr>
            <w:tcW w:type="dxa" w:w="1972"/>
          </w:tcPr>
          <w:p>
            <w:r/>
            <w:r>
              <w:rPr>
                <w:sz w:val="19"/>
              </w:rPr>
              <w:t>Соглашение об обработке данных; стандартные договорные положения ЕС; Рамочная программа ЕС-США по защите данных (EU-US Data Privacy Framework)</w:t>
            </w:r>
          </w:p>
        </w:tc>
      </w:tr>
    </w:tbl>
    <w:p/>
    <w:sectPr w:rsidR="00FC693F" w:rsidRPr="0006063C" w:rsidSect="00034616">
      <w:footerReference w:type="default" r:id="rId9"/>
      <w:pgSz w:w="12240" w:h="15840"/>
      <w:pgMar w:top="1247" w:right="1134"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6B7280"/>
        <w:sz w:val="16"/>
      </w:rPr>
      <w:t xml:space="preserve">scryp · Version 1.0, по состоянию на 22 сентября 2026 г. · Страница </w:t>
    </w:r>
    <w:r>
      <w:rPr>
        <w:color w:val="6B7280"/>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Calibri" w:hAnsi="Calibri" w:eastAsia="Calibri"/>
      <w:b/>
      <w:bCs/>
      <w:color w:val="1F2937"/>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eastAsia="Calibri"/>
      <w:b/>
      <w:bCs/>
      <w:color w:val="1F2937"/>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eastAsia="Calibri"/>
      <w:b/>
      <w:bCs/>
      <w:color w:val="37415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